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781" w:rsidRPr="004E5781" w:rsidRDefault="004E5781" w:rsidP="004E578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4E5781">
        <w:rPr>
          <w:rFonts w:ascii="Times New Roman" w:eastAsia="Times New Roman" w:hAnsi="Times New Roman" w:cs="Times New Roman"/>
          <w:b/>
          <w:bCs/>
          <w:kern w:val="36"/>
          <w:sz w:val="48"/>
          <w:szCs w:val="48"/>
          <w:lang w:eastAsia="ru-RU"/>
        </w:rPr>
        <w:t>Изменения № 10 к уставу</w:t>
      </w:r>
    </w:p>
    <w:tbl>
      <w:tblPr>
        <w:tblW w:w="5000" w:type="pct"/>
        <w:tblCellSpacing w:w="0" w:type="dxa"/>
        <w:tblCellMar>
          <w:left w:w="0" w:type="dxa"/>
          <w:right w:w="0" w:type="dxa"/>
        </w:tblCellMar>
        <w:tblLook w:val="04A0" w:firstRow="1" w:lastRow="0" w:firstColumn="1" w:lastColumn="0" w:noHBand="0" w:noVBand="1"/>
      </w:tblPr>
      <w:tblGrid>
        <w:gridCol w:w="9355"/>
      </w:tblGrid>
      <w:tr w:rsidR="004E5781" w:rsidRPr="004E5781" w:rsidTr="004E5781">
        <w:trPr>
          <w:tblCellSpacing w:w="0" w:type="dxa"/>
        </w:trPr>
        <w:tc>
          <w:tcPr>
            <w:tcW w:w="0" w:type="auto"/>
            <w:vAlign w:val="center"/>
            <w:hideMark/>
          </w:tcPr>
          <w:p w:rsidR="004E5781" w:rsidRPr="004E5781" w:rsidRDefault="004E5781" w:rsidP="004E57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E5781">
              <w:rPr>
                <w:rFonts w:ascii="Times New Roman" w:eastAsia="Times New Roman" w:hAnsi="Times New Roman" w:cs="Times New Roman"/>
                <w:b/>
                <w:bCs/>
                <w:i/>
                <w:iCs/>
                <w:sz w:val="24"/>
                <w:szCs w:val="24"/>
                <w:lang w:eastAsia="ru-RU"/>
              </w:rPr>
              <w:t>УТВЕРЖДЕНО</w:t>
            </w:r>
            <w:r w:rsidRPr="004E5781">
              <w:rPr>
                <w:rFonts w:ascii="Times New Roman" w:eastAsia="Times New Roman" w:hAnsi="Times New Roman" w:cs="Times New Roman"/>
                <w:b/>
                <w:bCs/>
                <w:i/>
                <w:iCs/>
                <w:sz w:val="24"/>
                <w:szCs w:val="24"/>
                <w:lang w:eastAsia="ru-RU"/>
              </w:rPr>
              <w:br/>
              <w:t>Федеральным агентством по управлению федеральным имуществом</w:t>
            </w:r>
            <w:r w:rsidRPr="004E5781">
              <w:rPr>
                <w:rFonts w:ascii="Times New Roman" w:eastAsia="Times New Roman" w:hAnsi="Times New Roman" w:cs="Times New Roman"/>
                <w:b/>
                <w:bCs/>
                <w:i/>
                <w:iCs/>
                <w:sz w:val="24"/>
                <w:szCs w:val="24"/>
                <w:lang w:eastAsia="ru-RU"/>
              </w:rPr>
              <w:br/>
              <w:t>Распоряжение от 25.09.2007г. № 3198-р</w:t>
            </w:r>
          </w:p>
          <w:p w:rsidR="004E5781" w:rsidRPr="004E5781" w:rsidRDefault="004E5781" w:rsidP="004E57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E5781">
              <w:rPr>
                <w:rFonts w:ascii="Times New Roman" w:eastAsia="Times New Roman" w:hAnsi="Times New Roman" w:cs="Times New Roman"/>
                <w:b/>
                <w:bCs/>
                <w:sz w:val="24"/>
                <w:szCs w:val="24"/>
                <w:lang w:eastAsia="ru-RU"/>
              </w:rPr>
              <w:t>ИЗМЕНЕНИЯ № 10 К УСТАВУ</w:t>
            </w:r>
            <w:r w:rsidRPr="004E5781">
              <w:rPr>
                <w:rFonts w:ascii="Times New Roman" w:eastAsia="Times New Roman" w:hAnsi="Times New Roman" w:cs="Times New Roman"/>
                <w:b/>
                <w:bCs/>
                <w:sz w:val="24"/>
                <w:szCs w:val="24"/>
                <w:lang w:eastAsia="ru-RU"/>
              </w:rPr>
              <w:br/>
              <w:t>Открытого акционерного общества</w:t>
            </w:r>
            <w:r w:rsidRPr="004E5781">
              <w:rPr>
                <w:rFonts w:ascii="Times New Roman" w:eastAsia="Times New Roman" w:hAnsi="Times New Roman" w:cs="Times New Roman"/>
                <w:b/>
                <w:bCs/>
                <w:sz w:val="24"/>
                <w:szCs w:val="24"/>
                <w:lang w:eastAsia="ru-RU"/>
              </w:rPr>
              <w:br/>
              <w:t>«Корпорация «Тактическое ракетное вооружение»</w:t>
            </w:r>
          </w:p>
          <w:p w:rsidR="004E5781" w:rsidRPr="004E5781" w:rsidRDefault="004E5781" w:rsidP="004E5781">
            <w:pPr>
              <w:spacing w:before="100" w:beforeAutospacing="1" w:after="100" w:afterAutospacing="1" w:line="240" w:lineRule="auto"/>
              <w:rPr>
                <w:rFonts w:ascii="Times New Roman" w:eastAsia="Times New Roman" w:hAnsi="Times New Roman" w:cs="Times New Roman"/>
                <w:sz w:val="24"/>
                <w:szCs w:val="24"/>
                <w:lang w:eastAsia="ru-RU"/>
              </w:rPr>
            </w:pPr>
            <w:r w:rsidRPr="004E5781">
              <w:rPr>
                <w:rFonts w:ascii="Times New Roman" w:eastAsia="Times New Roman" w:hAnsi="Times New Roman" w:cs="Times New Roman"/>
                <w:sz w:val="24"/>
                <w:szCs w:val="24"/>
                <w:lang w:eastAsia="ru-RU"/>
              </w:rPr>
              <w:t>г. Королёв</w:t>
            </w:r>
            <w:r w:rsidRPr="004E5781">
              <w:rPr>
                <w:rFonts w:ascii="Times New Roman" w:eastAsia="Times New Roman" w:hAnsi="Times New Roman" w:cs="Times New Roman"/>
                <w:sz w:val="24"/>
                <w:szCs w:val="24"/>
                <w:lang w:eastAsia="ru-RU"/>
              </w:rPr>
              <w:br/>
              <w:t> </w:t>
            </w:r>
            <w:r w:rsidRPr="004E5781">
              <w:rPr>
                <w:rFonts w:ascii="Times New Roman" w:eastAsia="Times New Roman" w:hAnsi="Times New Roman" w:cs="Times New Roman"/>
                <w:sz w:val="24"/>
                <w:szCs w:val="24"/>
                <w:lang w:eastAsia="ru-RU"/>
              </w:rPr>
              <w:br/>
            </w:r>
            <w:r w:rsidRPr="004E5781">
              <w:rPr>
                <w:rFonts w:ascii="Times New Roman" w:eastAsia="Times New Roman" w:hAnsi="Times New Roman" w:cs="Times New Roman"/>
                <w:b/>
                <w:bCs/>
                <w:sz w:val="24"/>
                <w:szCs w:val="24"/>
                <w:lang w:eastAsia="ru-RU"/>
              </w:rPr>
              <w:t>Дополнить статью 26 Устава пунктом 30 в следующей редакции:</w:t>
            </w:r>
            <w:r w:rsidRPr="004E5781">
              <w:rPr>
                <w:rFonts w:ascii="Times New Roman" w:eastAsia="Times New Roman" w:hAnsi="Times New Roman" w:cs="Times New Roman"/>
                <w:b/>
                <w:bCs/>
                <w:sz w:val="24"/>
                <w:szCs w:val="24"/>
                <w:lang w:eastAsia="ru-RU"/>
              </w:rPr>
              <w:br/>
            </w:r>
            <w:r w:rsidRPr="004E5781">
              <w:rPr>
                <w:rFonts w:ascii="Times New Roman" w:eastAsia="Times New Roman" w:hAnsi="Times New Roman" w:cs="Times New Roman"/>
                <w:sz w:val="24"/>
                <w:szCs w:val="24"/>
                <w:lang w:eastAsia="ru-RU"/>
              </w:rPr>
              <w:t>«30) рассмотрение информации об избрании единоличного исполнительного органа дочерних обществ».</w:t>
            </w:r>
          </w:p>
          <w:p w:rsidR="004E5781" w:rsidRPr="004E5781" w:rsidRDefault="004E5781" w:rsidP="004E5781">
            <w:pPr>
              <w:spacing w:before="100" w:beforeAutospacing="1" w:after="100" w:afterAutospacing="1" w:line="240" w:lineRule="auto"/>
              <w:rPr>
                <w:rFonts w:ascii="Times New Roman" w:eastAsia="Times New Roman" w:hAnsi="Times New Roman" w:cs="Times New Roman"/>
                <w:sz w:val="24"/>
                <w:szCs w:val="24"/>
                <w:lang w:eastAsia="ru-RU"/>
              </w:rPr>
            </w:pPr>
            <w:r w:rsidRPr="004E5781">
              <w:rPr>
                <w:rFonts w:ascii="Times New Roman" w:eastAsia="Times New Roman" w:hAnsi="Times New Roman" w:cs="Times New Roman"/>
                <w:sz w:val="24"/>
                <w:szCs w:val="24"/>
                <w:lang w:eastAsia="ru-RU"/>
              </w:rPr>
              <w:t> </w:t>
            </w:r>
            <w:r w:rsidRPr="004E5781">
              <w:rPr>
                <w:rFonts w:ascii="Times New Roman" w:eastAsia="Times New Roman" w:hAnsi="Times New Roman" w:cs="Times New Roman"/>
                <w:b/>
                <w:bCs/>
                <w:sz w:val="24"/>
                <w:szCs w:val="24"/>
                <w:lang w:eastAsia="ru-RU"/>
              </w:rPr>
              <w:t>Дополнить статью 26 Устава Общества пунктом 31 в следующей редакции:</w:t>
            </w:r>
            <w:r w:rsidRPr="004E5781">
              <w:rPr>
                <w:rFonts w:ascii="Times New Roman" w:eastAsia="Times New Roman" w:hAnsi="Times New Roman" w:cs="Times New Roman"/>
                <w:b/>
                <w:bCs/>
                <w:sz w:val="24"/>
                <w:szCs w:val="24"/>
                <w:lang w:eastAsia="ru-RU"/>
              </w:rPr>
              <w:br/>
            </w:r>
            <w:r w:rsidRPr="004E5781">
              <w:rPr>
                <w:rFonts w:ascii="Times New Roman" w:eastAsia="Times New Roman" w:hAnsi="Times New Roman" w:cs="Times New Roman"/>
                <w:sz w:val="24"/>
                <w:szCs w:val="24"/>
                <w:lang w:eastAsia="ru-RU"/>
              </w:rPr>
              <w:t>«31) определение позиции Общества (представителей Общества), в том числе поручение принимать или не принимать участие в голосовании по вопросам повестки дня, голосовать по проектам решений «за», «против» или «воздержался», по следующим вопросам повесток дня общих собраний акционеров дочерних обществ, и  заседаний советов директоров дочерних обществ:</w:t>
            </w:r>
            <w:r w:rsidRPr="004E5781">
              <w:rPr>
                <w:rFonts w:ascii="Times New Roman" w:eastAsia="Times New Roman" w:hAnsi="Times New Roman" w:cs="Times New Roman"/>
                <w:sz w:val="24"/>
                <w:szCs w:val="24"/>
                <w:lang w:eastAsia="ru-RU"/>
              </w:rPr>
              <w:br/>
              <w:t>а) утверждение общей стратегии и долгосрочных планов развития дочерних обществ;</w:t>
            </w:r>
            <w:r w:rsidRPr="004E5781">
              <w:rPr>
                <w:rFonts w:ascii="Times New Roman" w:eastAsia="Times New Roman" w:hAnsi="Times New Roman" w:cs="Times New Roman"/>
                <w:sz w:val="24"/>
                <w:szCs w:val="24"/>
                <w:lang w:eastAsia="ru-RU"/>
              </w:rPr>
              <w:br/>
              <w:t>б) внесение изменений и дополнений в устав дочернего общества или утверждение устава дочернего общества в новой редакции;</w:t>
            </w:r>
            <w:r w:rsidRPr="004E5781">
              <w:rPr>
                <w:rFonts w:ascii="Times New Roman" w:eastAsia="Times New Roman" w:hAnsi="Times New Roman" w:cs="Times New Roman"/>
                <w:sz w:val="24"/>
                <w:szCs w:val="24"/>
                <w:lang w:eastAsia="ru-RU"/>
              </w:rPr>
              <w:br/>
              <w:t>в) реорганизация, ликвидация дочерних обществ, в том числе любые действия, связанные с подачей заявления о банкротстве дочерних обществ, или совершения дочерними обществами иных действий в соответствии с применимым законодательством о несостоятельности (банкротстве), за исключением случаев, когда дочерние общества или их руководители (исполнительные органы) обязаны предпринять такие действия в соответствии с применимым законодательством о несостоятельности (банкротстве), а также случаев, в которых дочернее общество является кредитором в рамках процедуры несостоятельности (банкротства) других юридических лиц;</w:t>
            </w:r>
            <w:r w:rsidRPr="004E5781">
              <w:rPr>
                <w:rFonts w:ascii="Times New Roman" w:eastAsia="Times New Roman" w:hAnsi="Times New Roman" w:cs="Times New Roman"/>
                <w:sz w:val="24"/>
                <w:szCs w:val="24"/>
                <w:lang w:eastAsia="ru-RU"/>
              </w:rPr>
              <w:br/>
              <w:t>г)  увеличение уставного капитала дочернего общества;</w:t>
            </w:r>
            <w:r w:rsidRPr="004E5781">
              <w:rPr>
                <w:rFonts w:ascii="Times New Roman" w:eastAsia="Times New Roman" w:hAnsi="Times New Roman" w:cs="Times New Roman"/>
                <w:sz w:val="24"/>
                <w:szCs w:val="24"/>
                <w:lang w:eastAsia="ru-RU"/>
              </w:rPr>
              <w:br/>
              <w:t>д) одобрение сделки или нескольких взаимосвязанных сделок, связанных с отчуждением или возможностью отчуждения дочерним обществом  акций (долей, паев) российского или иностранного юридического лица, если в результате совершения данной сделки (сделок) доля дочернего общества в уставном (складочном) капитале юридического лица будет составлять менее 51 (пятидесяти одного) процента от величины уставного (складочного) капитала этого российского или иностранного юридического лица;</w:t>
            </w:r>
            <w:r w:rsidRPr="004E5781">
              <w:rPr>
                <w:rFonts w:ascii="Times New Roman" w:eastAsia="Times New Roman" w:hAnsi="Times New Roman" w:cs="Times New Roman"/>
                <w:sz w:val="24"/>
                <w:szCs w:val="24"/>
                <w:lang w:eastAsia="ru-RU"/>
              </w:rPr>
              <w:br/>
              <w:t>е)  одобрение сделки или нескольких взаимосвязанных сделок, заключаемых дочерним обществом на сумму свыше 10 (десяти) процентов балансовой стоимости активов по данным сводной бухгалтерской отчетности Общества на последнюю отчетную дата, за исключением сделок, осуществляемых лицами, входящими в одну группу лиц;</w:t>
            </w:r>
            <w:r w:rsidRPr="004E5781">
              <w:rPr>
                <w:rFonts w:ascii="Times New Roman" w:eastAsia="Times New Roman" w:hAnsi="Times New Roman" w:cs="Times New Roman"/>
                <w:sz w:val="24"/>
                <w:szCs w:val="24"/>
                <w:lang w:eastAsia="ru-RU"/>
              </w:rPr>
              <w:br/>
              <w:t>ж) избрание членов совета директоров дочерних обществ».</w:t>
            </w:r>
          </w:p>
          <w:p w:rsidR="004E5781" w:rsidRPr="004E5781" w:rsidRDefault="004E5781" w:rsidP="004E5781">
            <w:pPr>
              <w:spacing w:before="100" w:beforeAutospacing="1" w:after="100" w:afterAutospacing="1" w:line="240" w:lineRule="auto"/>
              <w:rPr>
                <w:rFonts w:ascii="Times New Roman" w:eastAsia="Times New Roman" w:hAnsi="Times New Roman" w:cs="Times New Roman"/>
                <w:sz w:val="24"/>
                <w:szCs w:val="24"/>
                <w:lang w:eastAsia="ru-RU"/>
              </w:rPr>
            </w:pPr>
            <w:r w:rsidRPr="004E5781">
              <w:rPr>
                <w:rFonts w:ascii="Times New Roman" w:eastAsia="Times New Roman" w:hAnsi="Times New Roman" w:cs="Times New Roman"/>
                <w:b/>
                <w:bCs/>
                <w:sz w:val="24"/>
                <w:szCs w:val="24"/>
                <w:lang w:eastAsia="ru-RU"/>
              </w:rPr>
              <w:t>Дополнить статью 30 Устава Общества пунктом 8 в следующей редакции:</w:t>
            </w:r>
            <w:r w:rsidRPr="004E5781">
              <w:rPr>
                <w:rFonts w:ascii="Times New Roman" w:eastAsia="Times New Roman" w:hAnsi="Times New Roman" w:cs="Times New Roman"/>
                <w:b/>
                <w:bCs/>
                <w:sz w:val="24"/>
                <w:szCs w:val="24"/>
                <w:lang w:eastAsia="ru-RU"/>
              </w:rPr>
              <w:br/>
            </w:r>
            <w:r w:rsidRPr="004E5781">
              <w:rPr>
                <w:rFonts w:ascii="Times New Roman" w:eastAsia="Times New Roman" w:hAnsi="Times New Roman" w:cs="Times New Roman"/>
                <w:sz w:val="24"/>
                <w:szCs w:val="24"/>
                <w:lang w:eastAsia="ru-RU"/>
              </w:rPr>
              <w:t>«Генеральный директор Общества обязан информировать Совет директоров Общества о планируемых решениях, касающихся прекращения полномочий и избрания единоличного исполнительного органа дочерних обществ».</w:t>
            </w:r>
          </w:p>
        </w:tc>
      </w:tr>
    </w:tbl>
    <w:p w:rsidR="00B3344D" w:rsidRDefault="00B3344D">
      <w:bookmarkStart w:id="0" w:name="_GoBack"/>
      <w:bookmarkEnd w:id="0"/>
    </w:p>
    <w:sectPr w:rsidR="00B334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79"/>
    <w:rsid w:val="004E5781"/>
    <w:rsid w:val="00825379"/>
    <w:rsid w:val="00B33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E57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5781"/>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unhideWhenUsed/>
    <w:rsid w:val="004E57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4E5781"/>
    <w:rPr>
      <w:b/>
      <w:bCs/>
    </w:rPr>
  </w:style>
  <w:style w:type="character" w:styleId="Emphasis">
    <w:name w:val="Emphasis"/>
    <w:basedOn w:val="DefaultParagraphFont"/>
    <w:uiPriority w:val="20"/>
    <w:qFormat/>
    <w:rsid w:val="004E578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E57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5781"/>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unhideWhenUsed/>
    <w:rsid w:val="004E57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4E5781"/>
    <w:rPr>
      <w:b/>
      <w:bCs/>
    </w:rPr>
  </w:style>
  <w:style w:type="character" w:styleId="Emphasis">
    <w:name w:val="Emphasis"/>
    <w:basedOn w:val="DefaultParagraphFont"/>
    <w:uiPriority w:val="20"/>
    <w:qFormat/>
    <w:rsid w:val="004E57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3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2398</Characters>
  <Application>Microsoft Office Word</Application>
  <DocSecurity>0</DocSecurity>
  <Lines>19</Lines>
  <Paragraphs>5</Paragraphs>
  <ScaleCrop>false</ScaleCrop>
  <Company>WWL Corp.</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2017-12-22T10:06:00Z</dcterms:created>
  <dcterms:modified xsi:type="dcterms:W3CDTF">2017-12-22T10:06:00Z</dcterms:modified>
</cp:coreProperties>
</file>